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t xml:space="preserve">SUBCONTRACT AGREEMENT</w:t>
      </w:r>
    </w:p>
    <w:p>
      <w:r>
        <w:t xml:space="preserve">This agreement is made March 3, 2026 between Acme Corporation (the Contractor) and Meridian Drywall LLC (the Subcontractor).</w:t>
      </w:r>
    </w:p>
    <w:p>
      <w:r>
        <w:t xml:space="preserve">Scope. The Subcontractor shall furnish labor and materials for gypsum assemblies on projects assigned by work order, including job J-260407.</w:t>
      </w:r>
    </w:p>
    <w:p>
      <w:r>
        <w:t xml:space="preserve">Payment. The Contractor shall pay within thirty (30) days of an approved invoice. Retainage of ten percent (10%) applies until final completion and release of liens.</w:t>
      </w:r>
    </w:p>
    <w:p>
      <w:r>
        <w:t xml:space="preserve">Change orders. No change order work shall proceed without written authorization from the project manager of record. Verbal authorization is expressly insufficient.</w:t>
      </w:r>
    </w:p>
    <w:p>
      <w:r>
        <w:t xml:space="preserve">Insurance. The Subcontractor shall maintain commercial general liability coverage of not less than $2,000,000 aggregate and name the Contractor as additional insured. A current certificate of insurance must be on file before mobilization.</w:t>
      </w:r>
    </w:p>
    <w:p>
      <w:r>
        <w:t xml:space="preserve">Termination. Either party may terminate for cause on fourteen (14) days written notice, hereinafter subject to cure.</w:t>
      </w:r>
    </w:p>
  </w:body>
</w:document>
</file>