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t xml:space="preserve">MASTER SERVICES AGREEMENT — INSURANCE RESTORATION</w:t>
      </w:r>
    </w:p>
    <w:p>
      <w:r>
        <w:t xml:space="preserve">This agreement is made November 12, 2025 between Ridgeview Mutual Insurance (the Carrier) and Acme Corporation (the Vendor).</w:t>
      </w:r>
    </w:p>
    <w:p>
      <w:r>
        <w:t xml:space="preserve">Program. The Vendor is an approved emergency mitigation and restoration vendor for Carrier claims in Johnston, Harnett and Wayne counties.</w:t>
      </w:r>
    </w:p>
    <w:p>
      <w:r>
        <w:t xml:space="preserve">Pricing. Work is priced per the Carrier's published schedule; supplements require adjuster approval before performance.</w:t>
      </w:r>
    </w:p>
    <w:p>
      <w:r>
        <w:t xml:space="preserve">Payment. The Carrier pays approved invoices net forty-five (45) days. Invoices lacking claim number or adjuster sign-off will be returned.</w:t>
      </w:r>
    </w:p>
    <w:p>
      <w:r>
        <w:t xml:space="preserve">Documentation. Moisture logs and photo documentation are required for every mitigation day, and are a condition of payment.</w:t>
      </w:r>
    </w:p>
  </w:body>
</w:document>
</file>